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djustRightInd w:val="0"/>
        <w:spacing w:before="120" w:beforeLines="50" w:after="120" w:afterLines="5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  <w:lang w:eastAsia="zh-CN"/>
        </w:rPr>
        <w:t>食堂管理外包短期服务具体需求及服务标准</w:t>
      </w:r>
    </w:p>
    <w:p>
      <w:pPr>
        <w:keepNext/>
        <w:keepLines/>
        <w:widowControl w:val="0"/>
        <w:adjustRightInd w:val="0"/>
        <w:spacing w:before="120" w:beforeLines="50" w:after="120" w:afterLines="50"/>
        <w:jc w:val="center"/>
        <w:textAlignment w:val="baseline"/>
        <w:outlineLvl w:val="1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、项目技术要求</w:t>
      </w:r>
    </w:p>
    <w:p>
      <w:pPr>
        <w:widowControl w:val="0"/>
        <w:jc w:val="both"/>
        <w:rPr>
          <w:rFonts w:eastAsia="宋体"/>
          <w:b/>
          <w:kern w:val="2"/>
          <w:sz w:val="21"/>
        </w:rPr>
      </w:pPr>
    </w:p>
    <w:p>
      <w:pPr>
        <w:widowControl w:val="0"/>
        <w:numPr>
          <w:ilvl w:val="0"/>
          <w:numId w:val="1"/>
        </w:numPr>
        <w:spacing w:line="340" w:lineRule="exact"/>
        <w:ind w:left="422" w:hanging="422"/>
        <w:jc w:val="both"/>
        <w:rPr>
          <w:rFonts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eastAsia="zh-CN"/>
        </w:rPr>
        <w:t>服务</w:t>
      </w:r>
      <w:r>
        <w:rPr>
          <w:rFonts w:hint="eastAsia" w:ascii="宋体" w:hAnsi="宋体" w:eastAsia="宋体" w:cs="宋体"/>
          <w:b/>
          <w:kern w:val="2"/>
          <w:sz w:val="21"/>
          <w:szCs w:val="21"/>
        </w:rPr>
        <w:t>范围、内容与要求</w:t>
      </w:r>
    </w:p>
    <w:p>
      <w:pPr>
        <w:widowControl w:val="0"/>
        <w:numPr>
          <w:ilvl w:val="1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范围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eastAsia="宋体"/>
          <w:color w:val="000000"/>
          <w:kern w:val="2"/>
          <w:sz w:val="21"/>
          <w:lang w:val="en-US" w:eastAsia="zh-CN"/>
        </w:rPr>
        <w:t>深圳市福田区人民法院新办公场所</w:t>
      </w:r>
      <w:r>
        <w:rPr>
          <w:rFonts w:hint="eastAsia" w:eastAsia="宋体"/>
          <w:color w:val="000000"/>
          <w:kern w:val="2"/>
          <w:sz w:val="21"/>
        </w:rPr>
        <w:t>食堂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后勤服务劳务及管理外包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（指定地点派遣工作）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，仅限劳务，不涉及食品原材料采购。该食堂不得对外经营。服务范围包括：本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单位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工作人员工作日用餐。</w:t>
      </w:r>
    </w:p>
    <w:p>
      <w:pPr>
        <w:widowControl w:val="0"/>
        <w:numPr>
          <w:ilvl w:val="1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管理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内容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负责本项目食堂的日常事务管理，有权自主聘用或调整工作人员，以保证采购单位每周工作日工作人员的正常就餐服务；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 xml:space="preserve">负责食堂人员工资、社保、食宿、福利、服装、办公费用、企业管理费、税费等本项目需求所涉及的费用。 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本单位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提供食堂场地和厨房设备、餐具等硬件设施，并承担食品原材料采购、水电费用、燃料费用和硬件设施维修费用。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供餐服务时间：周一至周五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早餐7:50-8:50；中餐1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: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-12:50；晚餐1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: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-18: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30）。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如遇特殊情况需进行特别保障的（如节假日供餐、提前或延后开饭等有关情形），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需无条件执行保障任务。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供应品种要求。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供应商需按采购人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要求的品种和质量提供相应服务。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人员配备及资质要求</w:t>
      </w:r>
    </w:p>
    <w:p>
      <w:pPr>
        <w:widowControl w:val="0"/>
        <w:numPr>
          <w:ilvl w:val="3"/>
          <w:numId w:val="1"/>
        </w:numPr>
        <w:tabs>
          <w:tab w:val="left" w:pos="907"/>
        </w:tabs>
        <w:spacing w:line="340" w:lineRule="exact"/>
        <w:jc w:val="both"/>
        <w:rPr>
          <w:rFonts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按食堂的供餐人数及服务项目要求，本项目食堂需配备工作人员合计不少于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人，具体要求如下：</w:t>
      </w:r>
    </w:p>
    <w:p>
      <w:pPr>
        <w:widowControl w:val="0"/>
        <w:ind w:left="907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eastAsia="宋体"/>
          <w:color w:val="000000"/>
          <w:kern w:val="2"/>
          <w:sz w:val="21"/>
        </w:rPr>
        <w:t>食堂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人员编制表（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人）</w:t>
      </w:r>
    </w:p>
    <w:tbl>
      <w:tblPr>
        <w:tblStyle w:val="10"/>
        <w:tblW w:w="0" w:type="auto"/>
        <w:jc w:val="righ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10"/>
        <w:gridCol w:w="2220"/>
        <w:gridCol w:w="46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right"/>
        </w:trPr>
        <w:tc>
          <w:tcPr>
            <w:tcW w:w="10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岗 位</w:t>
            </w:r>
          </w:p>
        </w:tc>
        <w:tc>
          <w:tcPr>
            <w:tcW w:w="4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人数</w:t>
            </w:r>
          </w:p>
        </w:tc>
        <w:tc>
          <w:tcPr>
            <w:tcW w:w="222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岗位职责</w:t>
            </w:r>
          </w:p>
        </w:tc>
        <w:tc>
          <w:tcPr>
            <w:tcW w:w="466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工作经验及资质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right"/>
        </w:trPr>
        <w:tc>
          <w:tcPr>
            <w:tcW w:w="10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总厨兼助理</w:t>
            </w:r>
          </w:p>
        </w:tc>
        <w:tc>
          <w:tcPr>
            <w:tcW w:w="4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222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负责对本项目全面管理、客户沟通、内外事务处理、员工的考核培训、营养配餐等</w:t>
            </w:r>
          </w:p>
        </w:tc>
        <w:tc>
          <w:tcPr>
            <w:tcW w:w="466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具有10年以上餐饮管理经验，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ISO22000食品安全管理体系和ISO9001质量管理体系，责任心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强，善于沟通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right"/>
        </w:trPr>
        <w:tc>
          <w:tcPr>
            <w:tcW w:w="10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炒菜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厨师</w:t>
            </w:r>
          </w:p>
        </w:tc>
        <w:tc>
          <w:tcPr>
            <w:tcW w:w="4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日常食堂的餐饮服务，主要负责接待餐、围餐菜肴制作</w:t>
            </w:r>
          </w:p>
        </w:tc>
        <w:tc>
          <w:tcPr>
            <w:tcW w:w="466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5年以上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本岗位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工作经验。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right"/>
        </w:trPr>
        <w:tc>
          <w:tcPr>
            <w:tcW w:w="10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中西</w:t>
            </w:r>
          </w:p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面师</w:t>
            </w:r>
          </w:p>
        </w:tc>
        <w:tc>
          <w:tcPr>
            <w:tcW w:w="4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负责食堂早、中、晚餐中西点心的制作</w:t>
            </w:r>
          </w:p>
        </w:tc>
        <w:tc>
          <w:tcPr>
            <w:tcW w:w="466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 xml:space="preserve">5年以上本岗位工作经验，熟悉各式南北风味点心制作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right"/>
        </w:trPr>
        <w:tc>
          <w:tcPr>
            <w:tcW w:w="10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切配厨师</w:t>
            </w:r>
          </w:p>
        </w:tc>
        <w:tc>
          <w:tcPr>
            <w:tcW w:w="4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负责食堂的原料加工切配、配餐、卫生等厨房的各种工作</w:t>
            </w:r>
          </w:p>
        </w:tc>
        <w:tc>
          <w:tcPr>
            <w:tcW w:w="466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 xml:space="preserve"> 3年以上切配工作经验。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10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服务人员</w:t>
            </w:r>
          </w:p>
        </w:tc>
        <w:tc>
          <w:tcPr>
            <w:tcW w:w="4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2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负责自助餐、围餐、配餐服务及协助厨房各部门的工作</w:t>
            </w:r>
          </w:p>
        </w:tc>
        <w:tc>
          <w:tcPr>
            <w:tcW w:w="466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2年以上本岗位工作经验。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right"/>
        </w:trPr>
        <w:tc>
          <w:tcPr>
            <w:tcW w:w="104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合计</w:t>
            </w:r>
          </w:p>
        </w:tc>
        <w:tc>
          <w:tcPr>
            <w:tcW w:w="4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jc w:val="both"/>
        <w:rPr>
          <w:rFonts w:ascii="宋体" w:hAnsi="宋体" w:eastAsia="宋体"/>
          <w:kern w:val="2"/>
          <w:sz w:val="28"/>
          <w:szCs w:val="28"/>
        </w:rPr>
      </w:pPr>
    </w:p>
    <w:p>
      <w:pPr>
        <w:widowControl w:val="0"/>
        <w:tabs>
          <w:tab w:val="left" w:pos="907"/>
        </w:tabs>
        <w:spacing w:line="340" w:lineRule="exact"/>
        <w:ind w:left="907"/>
        <w:jc w:val="both"/>
        <w:rPr>
          <w:rFonts w:ascii="宋体" w:hAnsi="宋体" w:eastAsia="宋体" w:cs="宋体"/>
          <w:b/>
          <w:kern w:val="2"/>
          <w:sz w:val="21"/>
          <w:szCs w:val="21"/>
        </w:rPr>
      </w:pPr>
    </w:p>
    <w:p>
      <w:pPr>
        <w:widowControl w:val="0"/>
        <w:tabs>
          <w:tab w:val="left" w:pos="907"/>
        </w:tabs>
        <w:spacing w:line="340" w:lineRule="exact"/>
        <w:ind w:left="907"/>
        <w:jc w:val="both"/>
        <w:rPr>
          <w:rFonts w:ascii="宋体" w:hAnsi="宋体" w:eastAsia="宋体" w:cs="宋体"/>
          <w:b/>
          <w:kern w:val="2"/>
          <w:sz w:val="21"/>
          <w:szCs w:val="21"/>
        </w:rPr>
      </w:pPr>
    </w:p>
    <w:p>
      <w:pPr>
        <w:widowControl w:val="0"/>
        <w:numPr>
          <w:ilvl w:val="0"/>
          <w:numId w:val="1"/>
        </w:numPr>
        <w:spacing w:line="340" w:lineRule="exact"/>
        <w:jc w:val="both"/>
        <w:rPr>
          <w:rFonts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项目管理要求</w:t>
      </w:r>
    </w:p>
    <w:p>
      <w:pPr>
        <w:widowControl w:val="0"/>
        <w:numPr>
          <w:ilvl w:val="1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食品卫生安全。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对采购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人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的食堂日常事务管理，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应严格执行国家、广东省、深圳市的食品卫生安全法规的规范要求；食堂工作人员必须持有效健康证上岗；做好个人卫生、环境卫生和餐厨用具用品的消毒工作，保障食堂出品的食品卫生安全；严防食物中毒和食源性疾病；严格执行安全生产制度，做好防火防盗的预防工作，杜绝重大事故的发生。</w:t>
      </w:r>
    </w:p>
    <w:p>
      <w:pPr>
        <w:widowControl w:val="0"/>
        <w:numPr>
          <w:ilvl w:val="1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管理考核测评。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食堂日常事务管理考核测评由采购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人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组织，干警满意率应达到80%以上，满意率低于60%以下，采购方有权解除合作合同。</w:t>
      </w:r>
    </w:p>
    <w:p>
      <w:pPr>
        <w:widowControl w:val="0"/>
        <w:numPr>
          <w:ilvl w:val="1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饭菜质量。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食堂供应的食品，必须符合食品卫生安全规范的质量要求，注重食品营养结构和风味搭配，确保热饭热菜供应服务，努力提高烹调服务水平。</w:t>
      </w:r>
    </w:p>
    <w:p>
      <w:pPr>
        <w:widowControl w:val="0"/>
        <w:numPr>
          <w:ilvl w:val="1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环境卫生。</w:t>
      </w:r>
    </w:p>
    <w:p>
      <w:pPr>
        <w:widowControl w:val="0"/>
        <w:numPr>
          <w:ilvl w:val="2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食堂环境卫生清洁要达到国家有关规定及行业规范的标准。食堂工作场所及周边区域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应做到每天及时清洁，每周彻底打扫一次。</w:t>
      </w:r>
    </w:p>
    <w:p>
      <w:pPr>
        <w:widowControl w:val="0"/>
        <w:numPr>
          <w:ilvl w:val="1"/>
          <w:numId w:val="1"/>
        </w:numPr>
        <w:spacing w:line="340" w:lineRule="exact"/>
        <w:jc w:val="both"/>
        <w:rPr>
          <w:rFonts w:ascii="仿宋_GB2312" w:eastAsia="仿宋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 xml:space="preserve">食堂设施维修保养及日常操作标准 </w:t>
      </w:r>
    </w:p>
    <w:tbl>
      <w:tblPr>
        <w:tblStyle w:val="10"/>
        <w:tblW w:w="0" w:type="auto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91"/>
        <w:gridCol w:w="1118"/>
        <w:gridCol w:w="2755"/>
        <w:gridCol w:w="1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right"/>
        </w:trPr>
        <w:tc>
          <w:tcPr>
            <w:tcW w:w="1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项目</w:t>
            </w:r>
          </w:p>
        </w:tc>
        <w:tc>
          <w:tcPr>
            <w:tcW w:w="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日常维修周期及内容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right"/>
        </w:trPr>
        <w:tc>
          <w:tcPr>
            <w:tcW w:w="1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检查周期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内容</w:t>
            </w:r>
          </w:p>
        </w:tc>
        <w:tc>
          <w:tcPr>
            <w:tcW w:w="1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righ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设</w:t>
            </w:r>
          </w:p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施</w:t>
            </w:r>
          </w:p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及</w:t>
            </w:r>
          </w:p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日</w:t>
            </w:r>
          </w:p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常</w:t>
            </w:r>
          </w:p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操</w:t>
            </w:r>
          </w:p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厨具、饮具、餐具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3次/日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清洗消毒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清洁、无油腻、无水渍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righ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餐台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3次/日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清洗消毒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整洁、美观、无锈迹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righ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厨房沟渠、水池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3次/日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检查、维修、疏通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畅通、无损坏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righ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肉类、蔬菜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3次/日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清洗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符合食品安全标准、无沙砾等杂物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righ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水电、煤气设备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随时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每日巡视检查、记录、发现问题及时报告跟踪处理结果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使用正常、安全无故障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righ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消防设施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随时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检查，参加检查发现问题及时报告跟踪处理结果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完备、使用正常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righ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室内外灯光照明、消毒灯管和室内电路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随时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检查，参加检查发现问题及时报告跟踪处理结果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符合安全标准，正常使用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righ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空调系统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每周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检查，参加检查发现问题及时报告跟踪处理结果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符合标准，正常使用</w:t>
            </w:r>
          </w:p>
        </w:tc>
      </w:tr>
    </w:tbl>
    <w:p>
      <w:pPr>
        <w:widowControl w:val="0"/>
        <w:numPr>
          <w:ilvl w:val="1"/>
          <w:numId w:val="1"/>
        </w:numPr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项目管理考核指标</w:t>
      </w:r>
    </w:p>
    <w:tbl>
      <w:tblPr>
        <w:tblStyle w:val="10"/>
        <w:tblW w:w="0" w:type="auto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32"/>
        <w:gridCol w:w="975"/>
        <w:gridCol w:w="2894"/>
        <w:gridCol w:w="900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righ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序号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项目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标准</w:t>
            </w:r>
          </w:p>
        </w:tc>
        <w:tc>
          <w:tcPr>
            <w:tcW w:w="28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内容及考核细则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频率</w:t>
            </w:r>
          </w:p>
        </w:tc>
        <w:tc>
          <w:tcPr>
            <w:tcW w:w="11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未达标处罚标准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right"/>
        </w:trPr>
        <w:tc>
          <w:tcPr>
            <w:tcW w:w="5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1</w:t>
            </w:r>
          </w:p>
        </w:tc>
        <w:tc>
          <w:tcPr>
            <w:tcW w:w="113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管理规章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100%</w:t>
            </w:r>
          </w:p>
        </w:tc>
        <w:tc>
          <w:tcPr>
            <w:tcW w:w="2894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有无年度工作计划、总结及规章制度，坚守工作岗位，保持良好工作秩序，做好防火、防盗、防破坏等工作。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1次/年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罚款1000-2000元/次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right"/>
        </w:trPr>
        <w:tc>
          <w:tcPr>
            <w:tcW w:w="5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2</w:t>
            </w:r>
          </w:p>
        </w:tc>
        <w:tc>
          <w:tcPr>
            <w:tcW w:w="113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厨具、餐具、饮具保洁率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</w:rPr>
              <w:t>≥</w:t>
            </w:r>
            <w:r>
              <w:rPr>
                <w:rFonts w:hint="eastAsia" w:eastAsia="宋体"/>
                <w:color w:val="000000"/>
                <w:kern w:val="2"/>
                <w:sz w:val="21"/>
              </w:rPr>
              <w:t>98%</w:t>
            </w:r>
          </w:p>
        </w:tc>
        <w:tc>
          <w:tcPr>
            <w:tcW w:w="2894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有无实行责任包干，指定服务员进行餐具洗消工作，实行巡查制度，以确保餐具无污染。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1次/月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罚款500-1000元/次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right"/>
        </w:trPr>
        <w:tc>
          <w:tcPr>
            <w:tcW w:w="5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3</w:t>
            </w:r>
          </w:p>
        </w:tc>
        <w:tc>
          <w:tcPr>
            <w:tcW w:w="113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厨房排水、明暗沟完好率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100%</w:t>
            </w:r>
          </w:p>
        </w:tc>
        <w:tc>
          <w:tcPr>
            <w:tcW w:w="2894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有无指定人员负责维护，确保厨房排水畅通无阻、无积水。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1次/月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罚款500-1000元/次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right"/>
        </w:trPr>
        <w:tc>
          <w:tcPr>
            <w:tcW w:w="5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4</w:t>
            </w:r>
          </w:p>
        </w:tc>
        <w:tc>
          <w:tcPr>
            <w:tcW w:w="113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有效投诉率、处理率及处理时限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有效投诉率≤1％/月；</w:t>
            </w:r>
          </w:p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及时处理率＞98%</w:t>
            </w:r>
          </w:p>
        </w:tc>
        <w:tc>
          <w:tcPr>
            <w:tcW w:w="2894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有无按照标准规定做好各项工作，提高员工素质，加强与干警之间的沟通，定期征求干警意见，主动改进工作；定期举行座谈会，了解干警的愿望及要求，满足干警的合理要求，将投诉及时处理及记录并建立回访制度(处理时限：立即处理，分类考虑可能处理的时间，一般不超过半天)，强化服务意识，提高员工素质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1次/月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罚款1000-2000元/次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right"/>
        </w:trPr>
        <w:tc>
          <w:tcPr>
            <w:tcW w:w="5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5</w:t>
            </w:r>
          </w:p>
        </w:tc>
        <w:tc>
          <w:tcPr>
            <w:tcW w:w="113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员工专业培训合格率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100%</w:t>
            </w:r>
          </w:p>
        </w:tc>
        <w:tc>
          <w:tcPr>
            <w:tcW w:w="2894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有无建立培训考核制度，对员工分别进行入职、在职及升职的培训，并予以考核，不合格者淘汰，确保培训合格率达标，以此确保员工的高素质。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1次/月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罚款500-1000元/次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right"/>
        </w:trPr>
        <w:tc>
          <w:tcPr>
            <w:tcW w:w="5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6</w:t>
            </w:r>
          </w:p>
        </w:tc>
        <w:tc>
          <w:tcPr>
            <w:tcW w:w="1132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食堂满意率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</w:rPr>
              <w:t>≥</w:t>
            </w:r>
            <w:r>
              <w:rPr>
                <w:rFonts w:hint="eastAsia" w:eastAsia="宋体"/>
                <w:color w:val="000000"/>
                <w:kern w:val="2"/>
                <w:sz w:val="21"/>
              </w:rPr>
              <w:t>80%</w:t>
            </w:r>
          </w:p>
        </w:tc>
        <w:tc>
          <w:tcPr>
            <w:tcW w:w="2894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是否采用科学管理手段，强化服务意识，及时收集客户的需求信息，尽可能满足干警的需求，加强双方的沟通，以确保干警对食堂管理工作的满意程度。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1次/月</w:t>
            </w: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shd w:val="solid" w:color="FFFFFF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eastAsia="宋体"/>
                <w:color w:val="000000"/>
                <w:kern w:val="2"/>
                <w:sz w:val="21"/>
              </w:rPr>
            </w:pPr>
            <w:r>
              <w:rPr>
                <w:rFonts w:hint="eastAsia" w:eastAsia="宋体"/>
                <w:color w:val="000000"/>
                <w:kern w:val="2"/>
                <w:sz w:val="21"/>
              </w:rPr>
              <w:t>罚款1000-2000元/次</w:t>
            </w:r>
          </w:p>
        </w:tc>
      </w:tr>
    </w:tbl>
    <w:p>
      <w:pPr>
        <w:widowControl w:val="0"/>
        <w:jc w:val="both"/>
        <w:rPr>
          <w:rFonts w:eastAsia="宋体"/>
          <w:b/>
          <w:kern w:val="2"/>
          <w:sz w:val="21"/>
        </w:rPr>
      </w:pPr>
    </w:p>
    <w:p>
      <w:pPr>
        <w:widowControl w:val="0"/>
        <w:jc w:val="both"/>
        <w:rPr>
          <w:rFonts w:eastAsia="宋体"/>
          <w:b/>
          <w:kern w:val="2"/>
          <w:sz w:val="21"/>
        </w:rPr>
      </w:pPr>
    </w:p>
    <w:p>
      <w:pPr>
        <w:keepNext/>
        <w:keepLines/>
        <w:widowControl w:val="0"/>
        <w:adjustRightInd w:val="0"/>
        <w:spacing w:before="120" w:beforeLines="50" w:after="120" w:afterLines="50"/>
        <w:jc w:val="center"/>
        <w:textAlignment w:val="baseline"/>
        <w:outlineLvl w:val="1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/>
          <w:b/>
          <w:bCs/>
          <w:sz w:val="28"/>
          <w:szCs w:val="28"/>
        </w:rPr>
        <w:t>、项目商务要求</w:t>
      </w:r>
    </w:p>
    <w:p>
      <w:pPr>
        <w:widowControl w:val="0"/>
        <w:numPr>
          <w:ilvl w:val="0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服务期限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本项目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服务期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为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七个月。</w:t>
      </w:r>
    </w:p>
    <w:p>
      <w:pPr>
        <w:widowControl w:val="0"/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</w:p>
    <w:p>
      <w:pPr>
        <w:widowControl w:val="0"/>
        <w:numPr>
          <w:ilvl w:val="0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报价要求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本项目服务费采用包干制，应包括入场的各项费用、服务成本、法定税费和企业的利润。由企业根据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需求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文件所提供的资料自行测算投标报价；一经中标，报价总价作为中标单位与采购单位签定的合同金额，合同期限内不做调整；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应根据本企业的成本自行决定报价，但不得以低于其企业成本的报价投标；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的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响应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报价不得超过财政预算限额，本项目财政控制金额为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万元，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/>
        </w:rPr>
        <w:t>服务期限为七个月，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投标报价超过预算控制金额的视为无效投标；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供应商选定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后，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响应报价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可以作为签订项目合同的总价。但是实际结算要以定员岗位的实际使用人数为准，不得低于要求的人员配置人数。结算价不能超过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报价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总价。因业务发展确需增加服务项目、内容时按投标报价或双方协商解决。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不得通过索赔等方式获取补偿。</w:t>
      </w:r>
    </w:p>
    <w:p>
      <w:pPr>
        <w:widowControl w:val="0"/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</w:p>
    <w:p>
      <w:pPr>
        <w:widowControl w:val="0"/>
        <w:numPr>
          <w:ilvl w:val="0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付款方式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管理服务费实行先服务后收费，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在服务的第二个月10号（节假日顺延）前提供正式税务发票，采购方按财务管理制度支付上月的管理服务费。</w:t>
      </w:r>
    </w:p>
    <w:p>
      <w:pPr>
        <w:widowControl w:val="0"/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</w:p>
    <w:p>
      <w:pPr>
        <w:widowControl w:val="0"/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</w:p>
    <w:p>
      <w:pPr>
        <w:widowControl w:val="0"/>
        <w:numPr>
          <w:ilvl w:val="0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违约责任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违反国家相关法规，与其聘用人员发生劳资等纠纷，均由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负责调解与处理，采购方不承担任何责任并有权解除合同。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必须承诺在合同签订后在采购方规定的时间内全部人员到岗到位；进场后当天向采购方提供作业人员名册和作业人员的资格证书、健康证明等材料。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作业人员必须按标书方案配置到位并符合招标文件要求；设备按标书配置的作业清单入场使用并符合招标文件要求。采购方检查发现配置人员到位不一致的，按违规处理。采购方可责令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限期整改，如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 xml:space="preserve">一个月内仍未达到要求，则采购方有权解除合同。 </w:t>
      </w:r>
    </w:p>
    <w:p>
      <w:pPr>
        <w:widowControl w:val="0"/>
        <w:spacing w:line="340" w:lineRule="exact"/>
        <w:jc w:val="both"/>
        <w:rPr>
          <w:rFonts w:ascii="宋体" w:hAnsi="宋体" w:eastAsia="宋体" w:cs="宋体"/>
          <w:bCs/>
          <w:kern w:val="2"/>
          <w:sz w:val="21"/>
          <w:szCs w:val="21"/>
        </w:rPr>
      </w:pPr>
    </w:p>
    <w:p>
      <w:pPr>
        <w:widowControl w:val="0"/>
        <w:numPr>
          <w:ilvl w:val="0"/>
          <w:numId w:val="2"/>
        </w:numPr>
        <w:spacing w:line="340" w:lineRule="exact"/>
        <w:ind w:left="-240" w:leftChars="-100"/>
        <w:jc w:val="both"/>
        <w:rPr>
          <w:rFonts w:ascii="宋体" w:hAnsi="宋体" w:eastAsia="宋体" w:cs="宋体"/>
          <w:b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服务质量监督和项目验收要求。</w:t>
      </w:r>
    </w:p>
    <w:p>
      <w:pPr>
        <w:widowControl w:val="0"/>
        <w:numPr>
          <w:ilvl w:val="1"/>
          <w:numId w:val="2"/>
        </w:numPr>
        <w:spacing w:line="340" w:lineRule="exact"/>
        <w:ind w:left="-240" w:leftChars="-100"/>
        <w:jc w:val="both"/>
        <w:rPr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</w:rPr>
        <w:t>采购方对该服务项目进行考核测评，考评满意率80%以上（含80%），如考评未达考核要求规范标准，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先进行整改，经考评仍未达标的，采购方则可随时终止合同并进行财务审计，由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Cs/>
          <w:kern w:val="2"/>
          <w:sz w:val="21"/>
          <w:szCs w:val="21"/>
        </w:rPr>
        <w:t>承担违约和赔偿责任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54</w:t>
    </w:r>
    <w:r>
      <w:fldChar w:fldCharType="end"/>
    </w:r>
    <w:r>
      <w:t xml:space="preserve"> -</w: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12E8D"/>
    <w:multiLevelType w:val="multilevel"/>
    <w:tmpl w:val="70712E8D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907" w:hanging="907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907"/>
        </w:tabs>
        <w:ind w:left="907" w:hanging="907"/>
      </w:pPr>
      <w:rPr>
        <w:rFonts w:hint="default" w:ascii="Times New Roman" w:hAnsi="Times New Roman" w:cs="Times New Roman"/>
        <w:b w:val="0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907"/>
        </w:tabs>
        <w:ind w:left="907" w:hanging="90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907" w:hanging="907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lvlText w:val="%1.%2.%3.%4.%5."/>
      <w:lvlJc w:val="left"/>
      <w:pPr>
        <w:ind w:left="907" w:hanging="907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abstractNum w:abstractNumId="1">
    <w:nsid w:val="73974B29"/>
    <w:multiLevelType w:val="multilevel"/>
    <w:tmpl w:val="73974B29"/>
    <w:lvl w:ilvl="0" w:tentative="0">
      <w:start w:val="1"/>
      <w:numFmt w:val="decimal"/>
      <w:lvlText w:val="%1."/>
      <w:lvlJc w:val="left"/>
      <w:pPr>
        <w:tabs>
          <w:tab w:val="left" w:pos="907"/>
        </w:tabs>
        <w:ind w:left="907" w:hanging="907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907"/>
        </w:tabs>
        <w:ind w:left="907" w:hanging="907"/>
      </w:pPr>
      <w:rPr>
        <w:rFonts w:hint="default" w:ascii="Times New Roman" w:hAnsi="Times New Roman" w:cs="Times New Roman"/>
        <w:b w:val="0"/>
        <w:sz w:val="21"/>
        <w:szCs w:val="21"/>
      </w:rPr>
    </w:lvl>
    <w:lvl w:ilvl="2" w:tentative="0">
      <w:start w:val="1"/>
      <w:numFmt w:val="decimal"/>
      <w:lvlText w:val="%1.%2.%3."/>
      <w:lvlJc w:val="left"/>
      <w:pPr>
        <w:tabs>
          <w:tab w:val="left" w:pos="907"/>
        </w:tabs>
        <w:ind w:left="907" w:hanging="90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907" w:hanging="907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lvlText w:val="%1.%2.%3.%4.%5."/>
      <w:lvlJc w:val="left"/>
      <w:pPr>
        <w:ind w:left="907" w:hanging="907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E7D54"/>
    <w:rsid w:val="11BDAE71"/>
    <w:rsid w:val="26B35BC8"/>
    <w:rsid w:val="27FF2DAF"/>
    <w:rsid w:val="29A833FB"/>
    <w:rsid w:val="2FFB7550"/>
    <w:rsid w:val="37FBCA3E"/>
    <w:rsid w:val="399B0ECE"/>
    <w:rsid w:val="39F5961E"/>
    <w:rsid w:val="3DF7639B"/>
    <w:rsid w:val="3F663FD3"/>
    <w:rsid w:val="3FCCF402"/>
    <w:rsid w:val="45DF75C9"/>
    <w:rsid w:val="51FED7AB"/>
    <w:rsid w:val="52E85231"/>
    <w:rsid w:val="5E851928"/>
    <w:rsid w:val="5EFA7CCD"/>
    <w:rsid w:val="5F1BF1F1"/>
    <w:rsid w:val="5FFF5362"/>
    <w:rsid w:val="655D5ECD"/>
    <w:rsid w:val="65FB4323"/>
    <w:rsid w:val="676B09CD"/>
    <w:rsid w:val="6B6D9762"/>
    <w:rsid w:val="6BDEE75D"/>
    <w:rsid w:val="6DDEDBDB"/>
    <w:rsid w:val="6FDF160F"/>
    <w:rsid w:val="73A00965"/>
    <w:rsid w:val="74A98F94"/>
    <w:rsid w:val="74DF6B0A"/>
    <w:rsid w:val="77CAF1C3"/>
    <w:rsid w:val="78C91EEB"/>
    <w:rsid w:val="7AE9230E"/>
    <w:rsid w:val="7BEA04A8"/>
    <w:rsid w:val="7E45997F"/>
    <w:rsid w:val="7F7D58EC"/>
    <w:rsid w:val="7F7FB00F"/>
    <w:rsid w:val="7F9FAA36"/>
    <w:rsid w:val="7FC9E352"/>
    <w:rsid w:val="7FFEA970"/>
    <w:rsid w:val="9BFF942D"/>
    <w:rsid w:val="9D4B5CFF"/>
    <w:rsid w:val="A5FD70B6"/>
    <w:rsid w:val="AEFC713A"/>
    <w:rsid w:val="B1AD6040"/>
    <w:rsid w:val="B6D7147E"/>
    <w:rsid w:val="BDBF1CE6"/>
    <w:rsid w:val="BEAB0290"/>
    <w:rsid w:val="BF9F8893"/>
    <w:rsid w:val="BFBBA395"/>
    <w:rsid w:val="DF7F179B"/>
    <w:rsid w:val="DFFE1F2F"/>
    <w:rsid w:val="E5779C6F"/>
    <w:rsid w:val="E5FEE377"/>
    <w:rsid w:val="E6BF39D0"/>
    <w:rsid w:val="E7FB98CC"/>
    <w:rsid w:val="EF7FBE6C"/>
    <w:rsid w:val="EFFB3724"/>
    <w:rsid w:val="F357D5D7"/>
    <w:rsid w:val="F5BE515C"/>
    <w:rsid w:val="F5FBCEAD"/>
    <w:rsid w:val="F6F78251"/>
    <w:rsid w:val="F8BFFC08"/>
    <w:rsid w:val="F9DA0B16"/>
    <w:rsid w:val="F9DFF3C4"/>
    <w:rsid w:val="FB7AF12B"/>
    <w:rsid w:val="FC55878A"/>
    <w:rsid w:val="FDFF6FAD"/>
    <w:rsid w:val="FE5E83A4"/>
    <w:rsid w:val="FEDF9BCF"/>
    <w:rsid w:val="FF25603D"/>
    <w:rsid w:val="FF5F164E"/>
    <w:rsid w:val="FFAD26DF"/>
    <w:rsid w:val="FFAFEB31"/>
    <w:rsid w:val="FFB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adjustRightInd w:val="0"/>
      <w:jc w:val="center"/>
      <w:textAlignment w:val="baseline"/>
      <w:outlineLvl w:val="1"/>
    </w:pPr>
    <w:rPr>
      <w:szCs w:val="20"/>
    </w:rPr>
  </w:style>
  <w:style w:type="paragraph" w:styleId="4">
    <w:name w:val="heading 3"/>
    <w:basedOn w:val="1"/>
    <w:next w:val="1"/>
    <w:qFormat/>
    <w:uiPriority w:val="9"/>
    <w:pPr>
      <w:spacing w:before="260" w:after="260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rPr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qFormat/>
    <w:uiPriority w:val="99"/>
    <w:rPr>
      <w:sz w:val="21"/>
      <w:szCs w:val="21"/>
    </w:rPr>
  </w:style>
  <w:style w:type="paragraph" w:customStyle="1" w:styleId="14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6131</Words>
  <Characters>6523</Characters>
  <Lines>0</Lines>
  <Paragraphs>0</Paragraphs>
  <TotalTime>58</TotalTime>
  <ScaleCrop>false</ScaleCrop>
  <LinksUpToDate>false</LinksUpToDate>
  <CharactersWithSpaces>6536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2025-04-28T03:35:00Z</dcterms:created>
  <dc:creator>Administrator</dc:creator>
  <cp:lastModifiedBy>ft33_52</cp:lastModifiedBy>
  <dcterms:modified xsi:type="dcterms:W3CDTF">2025-04-28T11:13:04Z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eyJoZGlkIjoiOTc3M2Y5NzIzMDFlZjAyY2Q4Njk5ODkyYjFjNzBiNTQiLCJ1c2VySWQiOiIxNjU1MzQ2Nzc2In0=</vt:lpwstr>
  </property>
  <property fmtid="{D5CDD505-2E9C-101B-9397-08002B2CF9AE}" pid="4" name="ICV">
    <vt:lpwstr>604AC1EE22EA4609B1A9798A7BF85B36_12</vt:lpwstr>
  </property>
</Properties>
</file>